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FD" w:rsidRDefault="003606FD" w:rsidP="003606FD">
      <w:pPr>
        <w:pStyle w:val="Title"/>
      </w:pPr>
      <w:r>
        <w:t>HIPPO Curtain Plot Assignment</w:t>
      </w:r>
      <w:r w:rsidR="00FD55BA">
        <w:t>:</w:t>
      </w:r>
      <w:r w:rsidR="00FD55BA">
        <w:br/>
      </w:r>
      <w:r w:rsidR="00FD55BA" w:rsidRPr="00FD55BA">
        <w:rPr>
          <w:sz w:val="36"/>
        </w:rPr>
        <w:t>Teacher Edition</w:t>
      </w:r>
      <w:r>
        <w:t xml:space="preserve"> </w:t>
      </w:r>
    </w:p>
    <w:p w:rsidR="009250B8" w:rsidRDefault="009250B8" w:rsidP="003606FD">
      <w:pPr>
        <w:pStyle w:val="Heading2"/>
      </w:pPr>
      <w:r>
        <w:t>Limitations of the HIPPO data:</w:t>
      </w:r>
    </w:p>
    <w:p w:rsidR="009250B8" w:rsidRDefault="009250B8" w:rsidP="009250B8">
      <w:pPr>
        <w:pStyle w:val="ListParagraph"/>
        <w:numPr>
          <w:ilvl w:val="0"/>
          <w:numId w:val="4"/>
        </w:numPr>
      </w:pPr>
      <w:r>
        <w:t>The flig</w:t>
      </w:r>
      <w:r w:rsidR="00A4119E">
        <w:t>hts are limited to the Pacific Basin</w:t>
      </w:r>
    </w:p>
    <w:p w:rsidR="009250B8" w:rsidRPr="009250B8" w:rsidRDefault="009250B8" w:rsidP="009250B8">
      <w:pPr>
        <w:pStyle w:val="ListParagraph"/>
        <w:numPr>
          <w:ilvl w:val="0"/>
          <w:numId w:val="4"/>
        </w:numPr>
      </w:pPr>
      <w:r>
        <w:t xml:space="preserve">Due to the varying depths in the troposphere </w:t>
      </w:r>
      <w:r w:rsidR="00A4119E">
        <w:t>the HIPPO team was</w:t>
      </w:r>
      <w:r>
        <w:t xml:space="preserve"> not able to samp</w:t>
      </w:r>
      <w:r w:rsidR="0035758A">
        <w:t>le the whole troposphere. In t</w:t>
      </w:r>
      <w:r>
        <w:t>h</w:t>
      </w:r>
      <w:r w:rsidR="0035758A">
        <w:t>e</w:t>
      </w:r>
      <w:r>
        <w:t xml:space="preserve"> tropics</w:t>
      </w:r>
      <w:r w:rsidR="002325A5">
        <w:t xml:space="preserve">, the </w:t>
      </w:r>
      <w:proofErr w:type="spellStart"/>
      <w:r w:rsidR="002325A5">
        <w:t>tropopause</w:t>
      </w:r>
      <w:proofErr w:type="spellEnd"/>
      <w:r w:rsidR="002325A5">
        <w:t xml:space="preserve"> reaches altitudes greater than 50,000’, which is the maximum altitude for NSF/NCAR GV HIPPO research flights.</w:t>
      </w:r>
    </w:p>
    <w:p w:rsidR="00124524" w:rsidRDefault="00124524" w:rsidP="003606FD">
      <w:pPr>
        <w:pStyle w:val="Heading2"/>
      </w:pPr>
      <w:r>
        <w:t>Carbon Dioxide Concentrations in the Atmosphere</w:t>
      </w:r>
    </w:p>
    <w:p w:rsidR="0035758A" w:rsidRDefault="001A0032" w:rsidP="0035758A">
      <w:pPr>
        <w:pStyle w:val="ListParagraph"/>
        <w:numPr>
          <w:ilvl w:val="0"/>
          <w:numId w:val="7"/>
        </w:numPr>
      </w:pPr>
      <w:r>
        <w:t>A</w:t>
      </w:r>
      <w:r>
        <w:rPr>
          <w:rStyle w:val="Emphasis"/>
        </w:rPr>
        <w:t xml:space="preserve"> source</w:t>
      </w:r>
      <w:r>
        <w:t> is any process or activity through which a greenhouse gas is released into the atmosphere. Both natural processes and human activities release greenhouse gases.</w:t>
      </w:r>
    </w:p>
    <w:p w:rsidR="001A0032" w:rsidRDefault="001A0032" w:rsidP="0035758A">
      <w:pPr>
        <w:pStyle w:val="ListParagraph"/>
        <w:numPr>
          <w:ilvl w:val="0"/>
          <w:numId w:val="7"/>
        </w:numPr>
      </w:pPr>
      <w:r>
        <w:t xml:space="preserve">A </w:t>
      </w:r>
      <w:r>
        <w:rPr>
          <w:rStyle w:val="Emphasis"/>
        </w:rPr>
        <w:t>sink</w:t>
      </w:r>
      <w:r>
        <w:t xml:space="preserve"> is a reservoir that takes up a chemical element or compound from another part of its natural cycle.</w:t>
      </w:r>
    </w:p>
    <w:p w:rsidR="00C63D15" w:rsidRPr="00C63D15" w:rsidRDefault="00C63D15" w:rsidP="00C63D15">
      <w:pPr>
        <w:rPr>
          <w:i/>
        </w:rPr>
      </w:pPr>
      <w:r>
        <w:rPr>
          <w:i/>
        </w:rPr>
        <w:t>Here are some general answers:</w:t>
      </w:r>
      <w:bookmarkStart w:id="0" w:name="_GoBack"/>
      <w:bookmarkEnd w:id="0"/>
    </w:p>
    <w:tbl>
      <w:tblPr>
        <w:tblStyle w:val="MediumGrid2"/>
        <w:tblW w:w="9874" w:type="dxa"/>
        <w:tblLook w:val="04A0"/>
      </w:tblPr>
      <w:tblGrid>
        <w:gridCol w:w="2988"/>
        <w:gridCol w:w="4603"/>
        <w:gridCol w:w="2283"/>
      </w:tblGrid>
      <w:tr w:rsidR="00124524">
        <w:trPr>
          <w:cnfStyle w:val="100000000000"/>
          <w:trHeight w:val="992"/>
        </w:trPr>
        <w:tc>
          <w:tcPr>
            <w:cnfStyle w:val="001000000100"/>
            <w:tcW w:w="2988" w:type="dxa"/>
          </w:tcPr>
          <w:p w:rsidR="00124524" w:rsidRPr="00124524" w:rsidRDefault="00124524" w:rsidP="00124524">
            <w:pPr>
              <w:jc w:val="center"/>
              <w:rPr>
                <w:sz w:val="32"/>
                <w:szCs w:val="32"/>
              </w:rPr>
            </w:pPr>
            <w:r w:rsidRPr="00124524">
              <w:rPr>
                <w:sz w:val="32"/>
                <w:szCs w:val="32"/>
              </w:rPr>
              <w:t>Variables</w:t>
            </w:r>
          </w:p>
        </w:tc>
        <w:tc>
          <w:tcPr>
            <w:tcW w:w="4603" w:type="dxa"/>
          </w:tcPr>
          <w:p w:rsidR="00124524" w:rsidRPr="00124524" w:rsidRDefault="00124524" w:rsidP="00124524">
            <w:pPr>
              <w:jc w:val="center"/>
              <w:cnfStyle w:val="100000000000"/>
              <w:rPr>
                <w:sz w:val="32"/>
                <w:szCs w:val="32"/>
              </w:rPr>
            </w:pPr>
            <w:r w:rsidRPr="00124524">
              <w:rPr>
                <w:sz w:val="32"/>
                <w:szCs w:val="32"/>
              </w:rPr>
              <w:t>Description of the effect</w:t>
            </w:r>
          </w:p>
        </w:tc>
        <w:tc>
          <w:tcPr>
            <w:tcW w:w="2283" w:type="dxa"/>
          </w:tcPr>
          <w:p w:rsidR="00124524" w:rsidRPr="00124524" w:rsidRDefault="00816B8F" w:rsidP="00124524">
            <w:pPr>
              <w:jc w:val="center"/>
              <w:cnfStyle w:val="1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Atmospheric </w:t>
            </w:r>
            <w:r w:rsidR="00124524" w:rsidRPr="00124524">
              <w:rPr>
                <w:sz w:val="32"/>
                <w:szCs w:val="32"/>
              </w:rPr>
              <w:t>CO</w:t>
            </w:r>
            <w:r w:rsidR="00124524" w:rsidRPr="00124524">
              <w:rPr>
                <w:sz w:val="32"/>
                <w:szCs w:val="32"/>
                <w:vertAlign w:val="subscript"/>
              </w:rPr>
              <w:t>2</w:t>
            </w:r>
            <w:r w:rsidR="00124524" w:rsidRPr="00124524">
              <w:rPr>
                <w:sz w:val="32"/>
                <w:szCs w:val="32"/>
              </w:rPr>
              <w:t xml:space="preserve"> concentration will increase or decrease</w:t>
            </w:r>
          </w:p>
        </w:tc>
      </w:tr>
      <w:tr w:rsidR="00124524">
        <w:trPr>
          <w:cnfStyle w:val="000000100000"/>
          <w:trHeight w:val="1069"/>
        </w:trPr>
        <w:tc>
          <w:tcPr>
            <w:cnfStyle w:val="001000000000"/>
            <w:tcW w:w="2988" w:type="dxa"/>
          </w:tcPr>
          <w:p w:rsidR="00124524" w:rsidRDefault="00124524" w:rsidP="00124524">
            <w:r>
              <w:t xml:space="preserve">Ocean waters </w:t>
            </w:r>
          </w:p>
        </w:tc>
        <w:tc>
          <w:tcPr>
            <w:tcW w:w="4603" w:type="dxa"/>
          </w:tcPr>
          <w:p w:rsidR="00124524" w:rsidRDefault="00816B8F" w:rsidP="00124524">
            <w:pPr>
              <w:cnfStyle w:val="000000100000"/>
            </w:pPr>
            <w:r>
              <w:t>Water is a carbon sink. Much of the carbon emitted is absorbed into ocean water.</w:t>
            </w:r>
          </w:p>
        </w:tc>
        <w:tc>
          <w:tcPr>
            <w:tcW w:w="2283" w:type="dxa"/>
          </w:tcPr>
          <w:p w:rsidR="00124524" w:rsidRDefault="00816B8F" w:rsidP="00124524">
            <w:pPr>
              <w:cnfStyle w:val="000000100000"/>
            </w:pPr>
            <w:r>
              <w:t xml:space="preserve">Decrease  </w:t>
            </w:r>
          </w:p>
        </w:tc>
      </w:tr>
      <w:tr w:rsidR="00124524">
        <w:trPr>
          <w:trHeight w:val="1240"/>
        </w:trPr>
        <w:tc>
          <w:tcPr>
            <w:cnfStyle w:val="001000000000"/>
            <w:tcW w:w="2988" w:type="dxa"/>
          </w:tcPr>
          <w:p w:rsidR="00124524" w:rsidRDefault="00124524" w:rsidP="00124524">
            <w:r>
              <w:t>Plants</w:t>
            </w:r>
          </w:p>
        </w:tc>
        <w:tc>
          <w:tcPr>
            <w:tcW w:w="4603" w:type="dxa"/>
          </w:tcPr>
          <w:p w:rsidR="00124524" w:rsidRDefault="00816B8F" w:rsidP="00124524">
            <w:pPr>
              <w:cnfStyle w:val="000000000000"/>
            </w:pPr>
            <w:r>
              <w:t>Plants use carbon dioxide in photosynthesis and are also considered carbon sinks.</w:t>
            </w:r>
          </w:p>
        </w:tc>
        <w:tc>
          <w:tcPr>
            <w:tcW w:w="2283" w:type="dxa"/>
          </w:tcPr>
          <w:p w:rsidR="00124524" w:rsidRDefault="00816B8F" w:rsidP="00124524">
            <w:pPr>
              <w:cnfStyle w:val="000000000000"/>
            </w:pPr>
            <w:r>
              <w:t>Decrease</w:t>
            </w:r>
          </w:p>
        </w:tc>
      </w:tr>
      <w:tr w:rsidR="00124524">
        <w:trPr>
          <w:cnfStyle w:val="000000100000"/>
          <w:trHeight w:val="1339"/>
        </w:trPr>
        <w:tc>
          <w:tcPr>
            <w:cnfStyle w:val="001000000000"/>
            <w:tcW w:w="2988" w:type="dxa"/>
          </w:tcPr>
          <w:p w:rsidR="00124524" w:rsidRDefault="00124524" w:rsidP="00124524">
            <w:r>
              <w:t>Fossil fuel combustion/</w:t>
            </w:r>
          </w:p>
          <w:p w:rsidR="00124524" w:rsidRDefault="00124524" w:rsidP="00124524">
            <w:proofErr w:type="gramStart"/>
            <w:r>
              <w:t>industrial</w:t>
            </w:r>
            <w:proofErr w:type="gramEnd"/>
            <w:r>
              <w:t xml:space="preserve"> use</w:t>
            </w:r>
          </w:p>
        </w:tc>
        <w:tc>
          <w:tcPr>
            <w:tcW w:w="4603" w:type="dxa"/>
          </w:tcPr>
          <w:p w:rsidR="00124524" w:rsidRDefault="00816B8F" w:rsidP="00124524">
            <w:pPr>
              <w:cnfStyle w:val="000000100000"/>
            </w:pPr>
            <w:r>
              <w:t>Burning of fossil fuel</w:t>
            </w:r>
            <w:r w:rsidR="00B574BE">
              <w:t xml:space="preserve"> (source)</w:t>
            </w:r>
            <w:r>
              <w:t xml:space="preserve"> releases carbon which was stored in the fuel product into the atmosphere</w:t>
            </w:r>
          </w:p>
        </w:tc>
        <w:tc>
          <w:tcPr>
            <w:tcW w:w="2283" w:type="dxa"/>
          </w:tcPr>
          <w:p w:rsidR="00124524" w:rsidRDefault="00816B8F" w:rsidP="00124524">
            <w:pPr>
              <w:cnfStyle w:val="000000100000"/>
            </w:pPr>
            <w:r>
              <w:t>Increase</w:t>
            </w:r>
          </w:p>
        </w:tc>
      </w:tr>
      <w:tr w:rsidR="00124524">
        <w:trPr>
          <w:trHeight w:val="1330"/>
        </w:trPr>
        <w:tc>
          <w:tcPr>
            <w:cnfStyle w:val="001000000000"/>
            <w:tcW w:w="2988" w:type="dxa"/>
          </w:tcPr>
          <w:p w:rsidR="00124524" w:rsidRDefault="00124524" w:rsidP="00124524">
            <w:r>
              <w:t>Seasons</w:t>
            </w:r>
          </w:p>
        </w:tc>
        <w:tc>
          <w:tcPr>
            <w:tcW w:w="4603" w:type="dxa"/>
          </w:tcPr>
          <w:p w:rsidR="00124524" w:rsidRDefault="00816B8F" w:rsidP="00816B8F">
            <w:pPr>
              <w:cnfStyle w:val="000000000000"/>
            </w:pPr>
            <w:r>
              <w:t xml:space="preserve">Oceans and plants store carbon at different rates in the warmer and cooler </w:t>
            </w:r>
            <w:r w:rsidR="00B574BE">
              <w:t>periods</w:t>
            </w:r>
            <w:r>
              <w:t>. During spring and summer blooming plant contribute to a decline in CO</w:t>
            </w:r>
            <w:r>
              <w:rPr>
                <w:vertAlign w:val="subscript"/>
              </w:rPr>
              <w:t>2</w:t>
            </w:r>
            <w:r>
              <w:t xml:space="preserve"> in the atmosphere due to increasing photosynthesis. Additionally the ocean waters store </w:t>
            </w:r>
            <w:proofErr w:type="gramStart"/>
            <w:r>
              <w:t>carbon which is released back into the atmosphere in warmer water</w:t>
            </w:r>
            <w:proofErr w:type="gramEnd"/>
            <w:r>
              <w:t xml:space="preserve"> and increase CO</w:t>
            </w:r>
            <w:r>
              <w:rPr>
                <w:vertAlign w:val="subscript"/>
              </w:rPr>
              <w:t>2</w:t>
            </w:r>
            <w:r>
              <w:t xml:space="preserve"> in the atmosphere.</w:t>
            </w:r>
          </w:p>
          <w:p w:rsidR="00D7594D" w:rsidRPr="00D7594D" w:rsidRDefault="00D7594D" w:rsidP="00816B8F">
            <w:pPr>
              <w:cnfStyle w:val="000000000000"/>
              <w:rPr>
                <w:i/>
              </w:rPr>
            </w:pPr>
            <w:r w:rsidRPr="00D7594D">
              <w:rPr>
                <w:i/>
              </w:rPr>
              <w:t>*</w:t>
            </w:r>
            <w:proofErr w:type="gramStart"/>
            <w:r w:rsidRPr="00D7594D">
              <w:rPr>
                <w:i/>
              </w:rPr>
              <w:t>day</w:t>
            </w:r>
            <w:proofErr w:type="gramEnd"/>
            <w:r w:rsidRPr="00D7594D">
              <w:rPr>
                <w:i/>
              </w:rPr>
              <w:t xml:space="preserve"> vs. night can have an effect on photosynthesis rates too.</w:t>
            </w:r>
          </w:p>
        </w:tc>
        <w:tc>
          <w:tcPr>
            <w:tcW w:w="2283" w:type="dxa"/>
          </w:tcPr>
          <w:p w:rsidR="00124524" w:rsidRPr="00816B8F" w:rsidRDefault="00816B8F" w:rsidP="00124524">
            <w:pPr>
              <w:cnfStyle w:val="000000000000"/>
            </w:pPr>
            <w:r>
              <w:t>Warmer weather for plants decreases CO</w:t>
            </w:r>
            <w:r>
              <w:rPr>
                <w:vertAlign w:val="subscript"/>
              </w:rPr>
              <w:t>2</w:t>
            </w:r>
          </w:p>
          <w:p w:rsidR="00816B8F" w:rsidRDefault="00816B8F" w:rsidP="00124524">
            <w:pPr>
              <w:cnfStyle w:val="000000000000"/>
            </w:pPr>
          </w:p>
          <w:p w:rsidR="00816B8F" w:rsidRPr="00816B8F" w:rsidRDefault="00816B8F" w:rsidP="00124524">
            <w:pPr>
              <w:cnfStyle w:val="000000000000"/>
            </w:pPr>
            <w:r>
              <w:t>Colder water decreases CO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</w:tr>
      <w:tr w:rsidR="00124524">
        <w:trPr>
          <w:cnfStyle w:val="000000100000"/>
          <w:trHeight w:val="1420"/>
        </w:trPr>
        <w:tc>
          <w:tcPr>
            <w:cnfStyle w:val="001000000000"/>
            <w:tcW w:w="2988" w:type="dxa"/>
          </w:tcPr>
          <w:p w:rsidR="00124524" w:rsidRDefault="00124524" w:rsidP="00124524">
            <w:r>
              <w:t>Latitude</w:t>
            </w:r>
          </w:p>
        </w:tc>
        <w:tc>
          <w:tcPr>
            <w:tcW w:w="4603" w:type="dxa"/>
          </w:tcPr>
          <w:p w:rsidR="00E430D6" w:rsidRDefault="00E430D6" w:rsidP="00124524">
            <w:pPr>
              <w:cnfStyle w:val="000000100000"/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concentrations are greatest at equator and least a poles (typically)</w:t>
            </w:r>
          </w:p>
          <w:p w:rsidR="00E430D6" w:rsidRPr="00E430D6" w:rsidRDefault="00E430D6" w:rsidP="00124524">
            <w:pPr>
              <w:cnfStyle w:val="000000100000"/>
            </w:pPr>
          </w:p>
          <w:p w:rsidR="00124524" w:rsidRDefault="00B574BE" w:rsidP="00124524">
            <w:pPr>
              <w:cnfStyle w:val="000000100000"/>
            </w:pPr>
            <w:r>
              <w:t>Different amounts of land and ocean at each</w:t>
            </w:r>
            <w:r w:rsidR="00B45B7D">
              <w:t xml:space="preserve"> </w:t>
            </w:r>
            <w:proofErr w:type="gramStart"/>
            <w:r>
              <w:t>l</w:t>
            </w:r>
            <w:r w:rsidR="00B45B7D">
              <w:t>a</w:t>
            </w:r>
            <w:r>
              <w:t>titude(</w:t>
            </w:r>
            <w:proofErr w:type="gramEnd"/>
            <w:r>
              <w:t>varying amounts of sources and sinks)</w:t>
            </w:r>
          </w:p>
          <w:p w:rsidR="00B574BE" w:rsidRDefault="00B574BE" w:rsidP="00124524">
            <w:pPr>
              <w:cnfStyle w:val="000000100000"/>
            </w:pPr>
          </w:p>
          <w:p w:rsidR="002F5B0F" w:rsidRDefault="002F5B0F" w:rsidP="00124524">
            <w:pPr>
              <w:cnfStyle w:val="000000100000"/>
            </w:pPr>
            <w:r>
              <w:t>Global wind patterns can also influence the concentrations</w:t>
            </w:r>
          </w:p>
          <w:p w:rsidR="00B574BE" w:rsidRDefault="00B574BE" w:rsidP="00124524">
            <w:pPr>
              <w:cnfStyle w:val="000000100000"/>
            </w:pPr>
          </w:p>
        </w:tc>
        <w:tc>
          <w:tcPr>
            <w:tcW w:w="2283" w:type="dxa"/>
          </w:tcPr>
          <w:p w:rsidR="00124524" w:rsidRDefault="002F5B0F" w:rsidP="00124524">
            <w:pPr>
              <w:cnfStyle w:val="000000100000"/>
            </w:pPr>
            <w:r>
              <w:t>Varies</w:t>
            </w:r>
          </w:p>
        </w:tc>
      </w:tr>
      <w:tr w:rsidR="00124524">
        <w:trPr>
          <w:trHeight w:val="1600"/>
        </w:trPr>
        <w:tc>
          <w:tcPr>
            <w:cnfStyle w:val="001000000000"/>
            <w:tcW w:w="2988" w:type="dxa"/>
          </w:tcPr>
          <w:p w:rsidR="00124524" w:rsidRDefault="00124524" w:rsidP="00124524">
            <w:r>
              <w:t>Altitude</w:t>
            </w:r>
          </w:p>
        </w:tc>
        <w:tc>
          <w:tcPr>
            <w:tcW w:w="4603" w:type="dxa"/>
          </w:tcPr>
          <w:p w:rsidR="00E430D6" w:rsidRDefault="00E430D6" w:rsidP="00124524">
            <w:pPr>
              <w:cnfStyle w:val="000000000000"/>
            </w:pPr>
            <w:r w:rsidRPr="00E430D6">
              <w:t>CO</w:t>
            </w:r>
            <w:r>
              <w:rPr>
                <w:vertAlign w:val="subscript"/>
              </w:rPr>
              <w:t>2</w:t>
            </w:r>
            <w:r>
              <w:t xml:space="preserve"> decreases with increasing altitude </w:t>
            </w:r>
            <w:r w:rsidR="00DA05AF">
              <w:t>due to gravity.</w:t>
            </w:r>
          </w:p>
          <w:p w:rsidR="00E430D6" w:rsidRPr="006F71AB" w:rsidRDefault="00E430D6" w:rsidP="006F71AB">
            <w:pPr>
              <w:cnfStyle w:val="000000000000"/>
            </w:pPr>
          </w:p>
          <w:p w:rsidR="006D47D7" w:rsidRPr="006F71AB" w:rsidRDefault="006D47D7" w:rsidP="006F71AB">
            <w:pPr>
              <w:cnfStyle w:val="000000000000"/>
            </w:pPr>
            <w:r w:rsidRPr="006F71AB">
              <w:t>There are two CO2 sources in the stratosphere; one is carbon monoxide (CO) and the other is methane (CH4). CO is rapidly oxidized to CO2 in the lower stratosphere.</w:t>
            </w:r>
          </w:p>
          <w:p w:rsidR="00124524" w:rsidRDefault="00124524" w:rsidP="006D47D7">
            <w:pPr>
              <w:cnfStyle w:val="000000000000"/>
            </w:pPr>
          </w:p>
        </w:tc>
        <w:tc>
          <w:tcPr>
            <w:tcW w:w="2283" w:type="dxa"/>
          </w:tcPr>
          <w:p w:rsidR="00124524" w:rsidRDefault="00A4119E" w:rsidP="00124524">
            <w:pPr>
              <w:cnfStyle w:val="000000000000"/>
            </w:pPr>
            <w:r>
              <w:t>V</w:t>
            </w:r>
            <w:r w:rsidR="002F5B0F">
              <w:t>aries</w:t>
            </w:r>
          </w:p>
        </w:tc>
      </w:tr>
    </w:tbl>
    <w:p w:rsidR="00CA2B51" w:rsidRDefault="00CA2B51" w:rsidP="003606FD">
      <w:pPr>
        <w:pStyle w:val="Heading2"/>
      </w:pPr>
      <w:r>
        <w:t>Carbon Flow</w:t>
      </w:r>
      <w:r w:rsidR="003606FD">
        <w:t xml:space="preserve"> Map</w:t>
      </w:r>
    </w:p>
    <w:p w:rsidR="00D9620E" w:rsidRDefault="00E620F0" w:rsidP="00D9620E">
      <w:r>
        <w:rPr>
          <w:rStyle w:val="SubtleEmphasis"/>
        </w:rPr>
        <w:t>The map may include the following, not limited to</w:t>
      </w:r>
      <w:r w:rsidR="00D9620E">
        <w:t>:</w:t>
      </w:r>
    </w:p>
    <w:p w:rsidR="00D9620E" w:rsidRDefault="00EC737E" w:rsidP="00D9620E">
      <w:pPr>
        <w:pStyle w:val="ListParagraph"/>
        <w:numPr>
          <w:ilvl w:val="0"/>
          <w:numId w:val="5"/>
        </w:numPr>
      </w:pPr>
      <w:r>
        <w:t>L</w:t>
      </w:r>
      <w:r w:rsidR="00D9620E">
        <w:t>arge arrows pointing into the ocean</w:t>
      </w:r>
      <w:r w:rsidR="00B8553E">
        <w:t xml:space="preserve"> - sink</w:t>
      </w:r>
    </w:p>
    <w:p w:rsidR="00D9620E" w:rsidRDefault="00EC737E" w:rsidP="00D9620E">
      <w:pPr>
        <w:pStyle w:val="ListParagraph"/>
        <w:numPr>
          <w:ilvl w:val="0"/>
          <w:numId w:val="5"/>
        </w:numPr>
      </w:pPr>
      <w:r>
        <w:t>S</w:t>
      </w:r>
      <w:r w:rsidR="00D9620E">
        <w:t xml:space="preserve">lightly smaller arrows </w:t>
      </w:r>
      <w:r w:rsidR="00005E9D">
        <w:t>point towards</w:t>
      </w:r>
      <w:r w:rsidR="00D9620E">
        <w:t xml:space="preserve"> land</w:t>
      </w:r>
      <w:r>
        <w:t xml:space="preserve"> </w:t>
      </w:r>
      <w:r w:rsidR="00B8553E">
        <w:t>- sink</w:t>
      </w:r>
    </w:p>
    <w:p w:rsidR="00D9620E" w:rsidRDefault="00D9620E" w:rsidP="00D9620E">
      <w:pPr>
        <w:pStyle w:val="ListParagraph"/>
        <w:numPr>
          <w:ilvl w:val="0"/>
          <w:numId w:val="5"/>
        </w:numPr>
      </w:pPr>
      <w:r>
        <w:t xml:space="preserve">Large arrows </w:t>
      </w:r>
      <w:r w:rsidR="00005E9D">
        <w:t xml:space="preserve">point towards the atmosphere </w:t>
      </w:r>
      <w:r>
        <w:t>from highly industrialized countries, emitting large amounts of fossil fuels</w:t>
      </w:r>
      <w:r w:rsidR="00B8553E">
        <w:t xml:space="preserve"> - source</w:t>
      </w:r>
    </w:p>
    <w:p w:rsidR="00D9620E" w:rsidRDefault="00B67D93" w:rsidP="00D9620E">
      <w:pPr>
        <w:pStyle w:val="ListParagraph"/>
        <w:numPr>
          <w:ilvl w:val="0"/>
          <w:numId w:val="5"/>
        </w:numPr>
      </w:pPr>
      <w:r>
        <w:t>Northern Hemisphere emits more CO</w:t>
      </w:r>
      <w:r>
        <w:rPr>
          <w:vertAlign w:val="subscript"/>
        </w:rPr>
        <w:t xml:space="preserve">2 </w:t>
      </w:r>
      <w:r>
        <w:t xml:space="preserve">than the Southern Hemisphere due to more burning of fossil fuels </w:t>
      </w:r>
      <w:r w:rsidR="00B8553E">
        <w:t>- source</w:t>
      </w:r>
      <w:r w:rsidR="00005E9D">
        <w:t>.</w:t>
      </w:r>
    </w:p>
    <w:p w:rsidR="004C6F4C" w:rsidRDefault="00B67D93" w:rsidP="00B67D93">
      <w:pPr>
        <w:pStyle w:val="ListParagraph"/>
        <w:numPr>
          <w:ilvl w:val="0"/>
          <w:numId w:val="5"/>
        </w:numPr>
      </w:pPr>
      <w:r>
        <w:t>Depending on the season the students select, arrows will be vary over land and ocean as well as hemisphere</w:t>
      </w:r>
    </w:p>
    <w:p w:rsidR="004C6F4C" w:rsidRDefault="004C6F4C" w:rsidP="00B67D93">
      <w:pPr>
        <w:pStyle w:val="ListParagraph"/>
        <w:numPr>
          <w:ilvl w:val="0"/>
          <w:numId w:val="5"/>
        </w:numPr>
      </w:pPr>
      <w:r>
        <w:t>Larger arrows near equator and mid-latitudes, more photosynthesis occurs in those regions than in Polar regions – Equatorial &amp; mid-latitude sources</w:t>
      </w:r>
    </w:p>
    <w:p w:rsidR="000C6CD6" w:rsidRPr="000C6CD6" w:rsidRDefault="000C6CD6" w:rsidP="003606FD">
      <w:pPr>
        <w:pStyle w:val="Heading2"/>
      </w:pPr>
      <w:r>
        <w:t xml:space="preserve">Assessment Question </w:t>
      </w:r>
    </w:p>
    <w:p w:rsidR="00A1720D" w:rsidRDefault="00E620F0" w:rsidP="00CA2B51">
      <w:pPr>
        <w:rPr>
          <w:rStyle w:val="SubtleEmphasis"/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Style w:val="SubtleEmphasis"/>
        </w:rPr>
        <w:t>May</w:t>
      </w:r>
      <w:r w:rsidR="00D7594D">
        <w:rPr>
          <w:rStyle w:val="SubtleEmphasis"/>
        </w:rPr>
        <w:t xml:space="preserve"> include the following</w:t>
      </w:r>
      <w:r>
        <w:rPr>
          <w:rStyle w:val="SubtleEmphasis"/>
        </w:rPr>
        <w:t>, not limited to:</w:t>
      </w:r>
    </w:p>
    <w:p w:rsidR="00A1720D" w:rsidRDefault="006D412E" w:rsidP="00A1720D">
      <w:pPr>
        <w:pStyle w:val="ListParagraph"/>
        <w:numPr>
          <w:ilvl w:val="0"/>
          <w:numId w:val="6"/>
        </w:numPr>
      </w:pPr>
      <w:r>
        <w:t xml:space="preserve">Atmospheric </w:t>
      </w:r>
      <w:r w:rsidR="00A1720D">
        <w:t>CO</w:t>
      </w:r>
      <w:r w:rsidR="00A1720D" w:rsidRPr="00A1720D">
        <w:rPr>
          <w:vertAlign w:val="subscript"/>
        </w:rPr>
        <w:t>2</w:t>
      </w:r>
      <w:r w:rsidR="00A1720D">
        <w:t xml:space="preserve"> levels would increase </w:t>
      </w:r>
      <w:r w:rsidR="00555236">
        <w:t>in the regions above the fire</w:t>
      </w:r>
      <w:r w:rsidR="00A91B38">
        <w:t>, but local communities should not be alarmed</w:t>
      </w:r>
      <w:r w:rsidR="00A1720D">
        <w:t xml:space="preserve">. </w:t>
      </w:r>
    </w:p>
    <w:p w:rsidR="00CA2B51" w:rsidRDefault="00A1720D" w:rsidP="00A1720D">
      <w:pPr>
        <w:pStyle w:val="ListParagraph"/>
        <w:numPr>
          <w:ilvl w:val="0"/>
          <w:numId w:val="6"/>
        </w:numPr>
      </w:pPr>
      <w:r>
        <w:t>The South East Trade winds would push the CO</w:t>
      </w:r>
      <w:r>
        <w:rPr>
          <w:vertAlign w:val="subscript"/>
        </w:rPr>
        <w:t xml:space="preserve">2 </w:t>
      </w:r>
      <w:r>
        <w:t>in the 0-30 degrees latitude towards the Pacific O</w:t>
      </w:r>
      <w:r w:rsidR="006D412E">
        <w:t>cean and up into the uppermost atmosphere where the CO</w:t>
      </w:r>
      <w:r w:rsidR="006D412E">
        <w:rPr>
          <w:vertAlign w:val="subscript"/>
        </w:rPr>
        <w:t>2</w:t>
      </w:r>
      <w:r w:rsidR="006D412E">
        <w:t xml:space="preserve"> concentrations will increase.</w:t>
      </w:r>
    </w:p>
    <w:p w:rsidR="00555236" w:rsidRDefault="006D412E" w:rsidP="00B45B7D">
      <w:pPr>
        <w:pStyle w:val="ListParagraph"/>
        <w:numPr>
          <w:ilvl w:val="0"/>
          <w:numId w:val="6"/>
        </w:numPr>
      </w:pPr>
      <w:r>
        <w:t>The CO</w:t>
      </w:r>
      <w:r w:rsidRPr="00922DF7">
        <w:rPr>
          <w:vertAlign w:val="subscript"/>
        </w:rPr>
        <w:t>2</w:t>
      </w:r>
      <w:r>
        <w:t xml:space="preserve"> levels will be elevated as compared to normal over the ocean, however, the ocean will act as a sink and will reduces levels in the southern hemisphere. </w:t>
      </w:r>
    </w:p>
    <w:p w:rsidR="00555236" w:rsidRDefault="006D412E" w:rsidP="00B45B7D">
      <w:pPr>
        <w:pStyle w:val="ListParagraph"/>
        <w:numPr>
          <w:ilvl w:val="0"/>
          <w:numId w:val="6"/>
        </w:numPr>
      </w:pPr>
      <w:r>
        <w:t>The Northern latitudes may experience slight elevated CO</w:t>
      </w:r>
      <w:r w:rsidRPr="00922DF7">
        <w:rPr>
          <w:vertAlign w:val="subscript"/>
        </w:rPr>
        <w:t>2</w:t>
      </w:r>
      <w:r>
        <w:t xml:space="preserve"> levels due to global winds. </w:t>
      </w:r>
    </w:p>
    <w:p w:rsidR="00BC25DC" w:rsidRPr="00124524" w:rsidRDefault="006D412E" w:rsidP="00B45B7D">
      <w:pPr>
        <w:pStyle w:val="ListParagraph"/>
        <w:numPr>
          <w:ilvl w:val="0"/>
          <w:numId w:val="6"/>
        </w:numPr>
      </w:pPr>
      <w:r>
        <w:t xml:space="preserve">The </w:t>
      </w:r>
      <w:r w:rsidR="00B41825">
        <w:t>Polar Regions</w:t>
      </w:r>
      <w:r>
        <w:t xml:space="preserve"> should still have the lowest levels of atmospheric CO</w:t>
      </w:r>
      <w:r w:rsidRPr="00922DF7">
        <w:rPr>
          <w:vertAlign w:val="subscript"/>
        </w:rPr>
        <w:t>2.</w:t>
      </w:r>
    </w:p>
    <w:sectPr w:rsidR="00BC25DC" w:rsidRPr="00124524" w:rsidSect="00BF2B09">
      <w:pgSz w:w="12240" w:h="15840"/>
      <w:pgMar w:top="1440" w:right="648" w:bottom="576" w:left="1440" w:footer="576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303"/>
    <w:multiLevelType w:val="hybridMultilevel"/>
    <w:tmpl w:val="333AB82E"/>
    <w:lvl w:ilvl="0" w:tplc="19B238E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3BE7"/>
    <w:multiLevelType w:val="hybridMultilevel"/>
    <w:tmpl w:val="BC28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1474F"/>
    <w:multiLevelType w:val="hybridMultilevel"/>
    <w:tmpl w:val="CF5A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B2D28"/>
    <w:multiLevelType w:val="hybridMultilevel"/>
    <w:tmpl w:val="1D5A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57C69"/>
    <w:multiLevelType w:val="hybridMultilevel"/>
    <w:tmpl w:val="FE08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22A33"/>
    <w:multiLevelType w:val="hybridMultilevel"/>
    <w:tmpl w:val="4404B576"/>
    <w:lvl w:ilvl="0" w:tplc="19B238E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30C60"/>
    <w:multiLevelType w:val="hybridMultilevel"/>
    <w:tmpl w:val="02025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124524"/>
    <w:rsid w:val="00005E9D"/>
    <w:rsid w:val="000813AF"/>
    <w:rsid w:val="000C6CD6"/>
    <w:rsid w:val="00124524"/>
    <w:rsid w:val="0014433A"/>
    <w:rsid w:val="001A0032"/>
    <w:rsid w:val="002325A5"/>
    <w:rsid w:val="00276EB9"/>
    <w:rsid w:val="002E0793"/>
    <w:rsid w:val="002F5B0F"/>
    <w:rsid w:val="003026F7"/>
    <w:rsid w:val="0035758A"/>
    <w:rsid w:val="003606FD"/>
    <w:rsid w:val="003D3603"/>
    <w:rsid w:val="003E4B0A"/>
    <w:rsid w:val="004C6F4C"/>
    <w:rsid w:val="004E3966"/>
    <w:rsid w:val="00555236"/>
    <w:rsid w:val="006B5775"/>
    <w:rsid w:val="006D412E"/>
    <w:rsid w:val="006D47D7"/>
    <w:rsid w:val="006F71AB"/>
    <w:rsid w:val="007C2C68"/>
    <w:rsid w:val="00816B8F"/>
    <w:rsid w:val="00922DF7"/>
    <w:rsid w:val="009250B8"/>
    <w:rsid w:val="009F6A2A"/>
    <w:rsid w:val="00A1720D"/>
    <w:rsid w:val="00A4119E"/>
    <w:rsid w:val="00A91B38"/>
    <w:rsid w:val="00AB10A2"/>
    <w:rsid w:val="00B41825"/>
    <w:rsid w:val="00B45B7D"/>
    <w:rsid w:val="00B574BE"/>
    <w:rsid w:val="00B67D93"/>
    <w:rsid w:val="00B82850"/>
    <w:rsid w:val="00B8553E"/>
    <w:rsid w:val="00BC25DC"/>
    <w:rsid w:val="00BF2B09"/>
    <w:rsid w:val="00C63D15"/>
    <w:rsid w:val="00CA2B51"/>
    <w:rsid w:val="00CB4A52"/>
    <w:rsid w:val="00D7594D"/>
    <w:rsid w:val="00D9620E"/>
    <w:rsid w:val="00DA05AF"/>
    <w:rsid w:val="00E430D6"/>
    <w:rsid w:val="00E620F0"/>
    <w:rsid w:val="00E74177"/>
    <w:rsid w:val="00EC737E"/>
    <w:rsid w:val="00EE3110"/>
    <w:rsid w:val="00FD55BA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AF"/>
  </w:style>
  <w:style w:type="paragraph" w:styleId="Heading1">
    <w:name w:val="heading 1"/>
    <w:basedOn w:val="Normal"/>
    <w:next w:val="Normal"/>
    <w:link w:val="Heading1Char"/>
    <w:uiPriority w:val="9"/>
    <w:qFormat/>
    <w:rsid w:val="00124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C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2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245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1245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1245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24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C2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5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6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C6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1720D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3606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6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A00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C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245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1245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1245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24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C2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5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6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C6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1720D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3606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6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A00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C4E5-7A58-5947-A444-9BF0139F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503</Words>
  <Characters>2872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Weld County School District 6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BRUEMMER</dc:creator>
  <cp:lastModifiedBy>Alison Rockwell</cp:lastModifiedBy>
  <cp:revision>25</cp:revision>
  <cp:lastPrinted>2011-12-02T18:13:00Z</cp:lastPrinted>
  <dcterms:created xsi:type="dcterms:W3CDTF">2011-12-01T17:18:00Z</dcterms:created>
  <dcterms:modified xsi:type="dcterms:W3CDTF">2011-12-02T22:13:00Z</dcterms:modified>
</cp:coreProperties>
</file>